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9D" w:rsidRPr="002850AB" w:rsidRDefault="00F83AEF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50AB">
        <w:rPr>
          <w:rFonts w:ascii="Times New Roman" w:hAnsi="Times New Roman" w:cs="Times New Roman"/>
          <w:sz w:val="24"/>
          <w:szCs w:val="24"/>
        </w:rPr>
        <w:t>Санкт-Петербургс</w:t>
      </w:r>
      <w:r w:rsidR="00470B9D" w:rsidRPr="002850AB">
        <w:rPr>
          <w:rFonts w:ascii="Times New Roman" w:hAnsi="Times New Roman" w:cs="Times New Roman"/>
          <w:sz w:val="24"/>
          <w:szCs w:val="24"/>
        </w:rPr>
        <w:t xml:space="preserve">кий государственный университет </w:t>
      </w:r>
      <w:proofErr w:type="gramStart"/>
      <w:r w:rsidRPr="002850AB">
        <w:rPr>
          <w:rFonts w:ascii="Times New Roman" w:hAnsi="Times New Roman" w:cs="Times New Roman"/>
          <w:sz w:val="24"/>
          <w:szCs w:val="24"/>
        </w:rPr>
        <w:t>промышленных</w:t>
      </w:r>
      <w:proofErr w:type="gramEnd"/>
      <w:r w:rsidRPr="00285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B9D" w:rsidRPr="002850AB" w:rsidRDefault="00F83AEF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технологий и дизайна</w:t>
      </w:r>
    </w:p>
    <w:p w:rsidR="00470B9D" w:rsidRPr="002850AB" w:rsidRDefault="00470B9D" w:rsidP="00470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Факультет: Высшая школа печати и </w:t>
      </w:r>
      <w:proofErr w:type="spellStart"/>
      <w:r w:rsidRPr="002850AB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</w:p>
    <w:p w:rsidR="00470B9D" w:rsidRPr="002850AB" w:rsidRDefault="00470B9D" w:rsidP="00F83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F83AEF">
      <w:pPr>
        <w:rPr>
          <w:rFonts w:ascii="Times New Roman" w:hAnsi="Times New Roman" w:cs="Times New Roman"/>
          <w:sz w:val="24"/>
          <w:szCs w:val="24"/>
        </w:rPr>
      </w:pPr>
    </w:p>
    <w:p w:rsidR="002850AB" w:rsidRPr="002850AB" w:rsidRDefault="002850AB" w:rsidP="002850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Массовые коммуникации и массовая культура</w:t>
      </w:r>
    </w:p>
    <w:p w:rsidR="00F83AEF" w:rsidRPr="002850AB" w:rsidRDefault="00F83AEF" w:rsidP="00F8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EF" w:rsidRPr="002850AB" w:rsidRDefault="00F83AEF" w:rsidP="00F83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EF" w:rsidRPr="002850AB" w:rsidRDefault="00F83AEF" w:rsidP="00470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9D" w:rsidRPr="002850AB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83AEF" w:rsidRPr="002850AB" w:rsidRDefault="00470B9D" w:rsidP="00470B9D">
      <w:pPr>
        <w:spacing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Группа: 1-МГ-30</w:t>
      </w:r>
    </w:p>
    <w:p w:rsidR="00470B9D" w:rsidRPr="002850AB" w:rsidRDefault="00470B9D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Магистратур: </w:t>
      </w:r>
      <w:proofErr w:type="spellStart"/>
      <w:r w:rsidR="00F83AEF" w:rsidRPr="002850AB">
        <w:rPr>
          <w:rFonts w:ascii="Times New Roman" w:hAnsi="Times New Roman" w:cs="Times New Roman"/>
          <w:sz w:val="24"/>
          <w:szCs w:val="24"/>
        </w:rPr>
        <w:t>Аюуш</w:t>
      </w:r>
      <w:proofErr w:type="spellEnd"/>
      <w:r w:rsidRPr="0028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AEF" w:rsidRPr="002850AB">
        <w:rPr>
          <w:rFonts w:ascii="Times New Roman" w:hAnsi="Times New Roman" w:cs="Times New Roman"/>
          <w:sz w:val="24"/>
          <w:szCs w:val="24"/>
        </w:rPr>
        <w:t>Энхтуул</w:t>
      </w:r>
      <w:proofErr w:type="spellEnd"/>
    </w:p>
    <w:p w:rsidR="00F83AEF" w:rsidRPr="002850AB" w:rsidRDefault="002850AB" w:rsidP="00470B9D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2850AB">
        <w:rPr>
          <w:rFonts w:ascii="Times New Roman" w:hAnsi="Times New Roman" w:cs="Times New Roman"/>
          <w:sz w:val="24"/>
          <w:szCs w:val="24"/>
        </w:rPr>
        <w:t>В.Б.Высоцкий</w:t>
      </w:r>
      <w:proofErr w:type="spellEnd"/>
      <w:r w:rsidR="00470B9D" w:rsidRPr="002850AB">
        <w:rPr>
          <w:rFonts w:ascii="Times New Roman" w:hAnsi="Times New Roman" w:cs="Times New Roman"/>
          <w:sz w:val="24"/>
          <w:szCs w:val="24"/>
        </w:rPr>
        <w:tab/>
      </w:r>
    </w:p>
    <w:p w:rsidR="00470B9D" w:rsidRPr="002850AB" w:rsidRDefault="00470B9D" w:rsidP="00470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9D" w:rsidRPr="002850AB" w:rsidRDefault="00470B9D" w:rsidP="00470B9D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54397" w:rsidRPr="002850AB" w:rsidRDefault="00470B9D" w:rsidP="00354397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0AB">
        <w:rPr>
          <w:rFonts w:ascii="Times New Roman" w:hAnsi="Times New Roman" w:cs="Times New Roman"/>
          <w:sz w:val="24"/>
          <w:szCs w:val="24"/>
        </w:rPr>
        <w:t>2025</w:t>
      </w:r>
      <w:r w:rsidR="002850AB" w:rsidRPr="002850AB">
        <w:rPr>
          <w:rFonts w:ascii="Times New Roman" w:hAnsi="Times New Roman" w:cs="Times New Roman"/>
          <w:sz w:val="24"/>
          <w:szCs w:val="24"/>
        </w:rPr>
        <w:t>.11.26</w:t>
      </w: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Массовая культура как специфический феномен ХХ века чрезвычайно сложна и противоречива, чтобы дать ей какое-то однозначное, удовлетворяющее всех определение. В некоторых изданиях перечисляются такие ее направления и проявления, что создается впечатление, что массовая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сущности все человеческое бытие: и политика, и социальная жизнь, и спорт и собственно культура как таковая.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(См., напр.: Культурология.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век. Энциклопедия. Т. II, 2, Санкт-Петербург, 1998.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С.20-22).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Разумеется, такая трактовка имеет определенные основания, поскольку массовая культура действительно проникает во все сферы человеческого существования. Однако простой перечень этих сфер вряд ли может объяснить, почему массовая культура так стремительно распространилась и продолжает устойчивое бытование, несмотря на острую критику, а иногда на полное неприятие и отрицание ее как явления культуры.</w:t>
      </w: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всем разнообразии концептуальных вариаций ее «происхождения» несомненным является то, что ее появление связано с развитием техники и массовых коммуникаций, поскольку именно они являются ее проводниками и аккумуляторами. Культура становится массовой в контексте своего функционирования в 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техноцентричном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возникает вопрос, поставленный в свое время Э. Мореном: могут ли средства массовой коммуникации стать также средствами развития и углубления культуры в ее традиционном гуманистическом понимании?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 этот вопрос частично может дать анализ развития самих средств коммуникации. М. 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Маклюэн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объясняя развитие исторического процесса коммуникационными революциями, делит историю человечества на четыре периода: 1) племенное общество; 2) тысячелетие фонетического письма; 3) типографская «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гутенбергова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галактика» — 500 лет печатной техники, возникшей на базе фонетического письма, и, наконец, 4) современная «электрическая» цивилизация.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(Проблемы современного общества в зарубежной социологии.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Реферативный сборник, IV. Массовые коммуникации. М., 1974.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С.29).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М. 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Маклюэна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электрические средства коммуникации приводят к тому, что ускорение становится тотальным, приводит к изменениям во всех сферах человеческой жизни. Это утверждение относится и к развитию искусства, особенно массовых искусств.</w:t>
      </w: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развитием массовых коммуникаций происходят сущностные изменения всей художественной культуры, что связано с появлением новых, так называемых «технических искусств»: фотографии, кинематографа, телевидения и других форм экранной культуры. Причем они развивались и развиваются настолько бурно, что на протяжении одного поколения можно проследить революционные скачки в их развитии. «Существует закон ускоренного развития, согласно которому новые виды иску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пр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оходят определенный путь за значительно более короткие исторические сроки, чем затратили на это искусства древние, ибо новое искусство как бы аккумулирует в себе опыт предшествующего развития».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85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Парсаданов</w:t>
      </w:r>
      <w:proofErr w:type="spellEnd"/>
      <w:r w:rsidRPr="00285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Н.Я.</w:t>
      </w: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Эстетика и кино.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1966.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С.40).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этих новых способов художественного выражения вступает в спор как друг с другом, так и с традиционными искусствами.</w:t>
      </w: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20-ые–30-е годы в отечественном киноведении была довольно распространенной идея «кинофикации» искусства, согласно которой кинематограф, будучи «универсальным» искусством, должен заменить собой все другие способы художественного выражения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всяком случае значительно их видоизменить.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(См., напр.: </w:t>
      </w:r>
      <w:r w:rsidRPr="00285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Пиотровский А.</w:t>
      </w: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Кинофикация искусств.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Л., 1929).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Логика развития искусства отвергла пессимистические прогнозы последовательной гибели всех искусств и подтвердила идею об их влиянии и взаимообогащении, которая с появлением кино стала ощущаться значительно острее.</w:t>
      </w: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технические искусства охватывали все более широкую аудиторию. Рекордсменами в этом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 явились кинематограф и телевидение, непосредственно </w:t>
      </w: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связанные с массовыми коммуникациями и сами таковыми являющиеся. М. 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Маклюэн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считает, что средства коммуникации — это «продолжение» или «расширение» границ действия человеческих чувств. Он вводит различие между «горячими» и «холодными» средствами массовой коммуникации. Чем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технически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усложнено средство коммуникации, тем оно «холоднее», и соответственно «холоднее» и спокойнее восприятие зрителя. Кино «включает» зрителя сильнее, активнее, чем просмотр телевидения, а телевидение сильнее, чем видео. В телевидении и кинематографе коммуникативные и собственно культурные функции практически неразделимы. Так, кинематограф, создавая новую кинематографическую форму коммуникации, в основе которой лежали традиции «храмовой» коммуникации, может активно выполнять коммуникативную функцию только в случае, когда фильм является подлинным произведением искусства. При изучении массовой культуры и массовой коммуникации очень важно, чтобы «фактор творчества» не заслонялся техническими аспектами. Э. Морен анализирует различные возможности между двумя полюсами в массовой культуре: унифицирующей тенденцией производства и сферой индивидуального творчества.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85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Морен Э.</w:t>
      </w: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течения в изучении массовых коммуникаций.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См.: Указ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борник.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С.55).</w:t>
      </w:r>
      <w:proofErr w:type="gramEnd"/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проблема особенно остро встает в эпоху информационного общества, когда появление новых технологий создает новый тип мышления и новые возможности восприятия. Так, Э. 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Тоффлер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 на 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демассификацию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массового сознания,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результате 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демассификации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информации в условиях Третьей волны. Анализируя массовую культуру </w:t>
      </w:r>
      <w:proofErr w:type="spell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техноцентричного</w:t>
      </w:r>
      <w:proofErr w:type="spell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общества, видя ее негативные тенденции (деперсонализацию, возможности манипулирования массовым сознанием), нельзя в то же время подходить к ней снобистски и не учитывать элемент творчества и сотворчества, без чего немыслим современный облик культуры, которая в </w:t>
      </w:r>
      <w:proofErr w:type="gramStart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демократическом обществе</w:t>
      </w:r>
      <w:proofErr w:type="gramEnd"/>
      <w:r w:rsidRPr="002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не быть массовой. Средства массовой коммуникации, органично «включаясь» в современную художественную культуру, обусловливая массовость и общедоступность технических искусств, оказывают огромное воздействие на ее развитие и потребление.</w:t>
      </w: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AB" w:rsidRPr="002850AB" w:rsidRDefault="002850AB" w:rsidP="00285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Источник: </w:t>
      </w:r>
      <w:hyperlink r:id="rId5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Сорокина В.Н.</w:t>
        </w:r>
      </w:hyperlink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Массовые коммуникации и массовая культура</w:t>
        </w:r>
      </w:hyperlink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hyperlink r:id="rId7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Серия “</w:t>
        </w:r>
        <w:proofErr w:type="spellStart"/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Symposium</w:t>
        </w:r>
        <w:proofErr w:type="spellEnd"/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”</w:t>
        </w:r>
      </w:hyperlink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Российская массовая культура конца XX века.</w:t>
        </w:r>
      </w:hyperlink>
      <w:proofErr w:type="gramStart"/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Выпуск 15 / Материалы круглого стола 4 декабря 2001 г. </w:t>
      </w:r>
      <w:hyperlink r:id="rId9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Санкт-Петербург</w:t>
        </w:r>
      </w:hyperlink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hyperlink r:id="rId10" w:history="1">
        <w:r w:rsidRPr="002850A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Санкт-Петербургское философское общество</w:t>
        </w:r>
      </w:hyperlink>
      <w:r w:rsidRPr="002850AB">
        <w:rPr>
          <w:rFonts w:ascii="Times New Roman" w:hAnsi="Times New Roman" w:cs="Times New Roman"/>
          <w:color w:val="000000" w:themeColor="text1"/>
          <w:sz w:val="24"/>
          <w:szCs w:val="24"/>
        </w:rPr>
        <w:t>, 2001. C.160</w:t>
      </w:r>
      <w:r w:rsidRPr="002850AB">
        <w:rPr>
          <w:rFonts w:ascii="Times New Roman" w:hAnsi="Times New Roman" w:cs="Times New Roman"/>
          <w:sz w:val="24"/>
          <w:szCs w:val="24"/>
        </w:rPr>
        <w:t>.</w:t>
      </w:r>
    </w:p>
    <w:p w:rsidR="00F83AEF" w:rsidRPr="00D250C1" w:rsidRDefault="00F83AEF" w:rsidP="00D250C1">
      <w:pPr>
        <w:pStyle w:val="a5"/>
        <w:jc w:val="both"/>
        <w:rPr>
          <w:color w:val="000000"/>
        </w:rPr>
      </w:pPr>
    </w:p>
    <w:sectPr w:rsidR="00F83AEF" w:rsidRPr="00D2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EF"/>
    <w:rsid w:val="000B3952"/>
    <w:rsid w:val="002850AB"/>
    <w:rsid w:val="002F1B03"/>
    <w:rsid w:val="002F3F55"/>
    <w:rsid w:val="00354397"/>
    <w:rsid w:val="003E02E8"/>
    <w:rsid w:val="00470B9D"/>
    <w:rsid w:val="006B24AB"/>
    <w:rsid w:val="006D486B"/>
    <w:rsid w:val="006E5C46"/>
    <w:rsid w:val="00827C53"/>
    <w:rsid w:val="008B4A3A"/>
    <w:rsid w:val="008D1E63"/>
    <w:rsid w:val="009F1184"/>
    <w:rsid w:val="00AE0203"/>
    <w:rsid w:val="00B30434"/>
    <w:rsid w:val="00C25988"/>
    <w:rsid w:val="00CE4393"/>
    <w:rsid w:val="00D250C1"/>
    <w:rsid w:val="00D33DBC"/>
    <w:rsid w:val="00E55B28"/>
    <w:rsid w:val="00F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4397"/>
  </w:style>
  <w:style w:type="character" w:customStyle="1" w:styleId="a4">
    <w:name w:val="Дата Знак"/>
    <w:basedOn w:val="a0"/>
    <w:link w:val="a3"/>
    <w:uiPriority w:val="99"/>
    <w:semiHidden/>
    <w:rsid w:val="00354397"/>
  </w:style>
  <w:style w:type="paragraph" w:styleId="a5">
    <w:name w:val="Normal (Web)"/>
    <w:basedOn w:val="a"/>
    <w:uiPriority w:val="99"/>
    <w:unhideWhenUsed/>
    <w:rsid w:val="00D2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-field-field-person">
    <w:name w:val="views-field-field-person"/>
    <w:basedOn w:val="a0"/>
    <w:rsid w:val="002850AB"/>
  </w:style>
  <w:style w:type="character" w:styleId="a6">
    <w:name w:val="Hyperlink"/>
    <w:basedOn w:val="a0"/>
    <w:uiPriority w:val="99"/>
    <w:semiHidden/>
    <w:unhideWhenUsed/>
    <w:rsid w:val="002850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4397"/>
  </w:style>
  <w:style w:type="character" w:customStyle="1" w:styleId="a4">
    <w:name w:val="Дата Знак"/>
    <w:basedOn w:val="a0"/>
    <w:link w:val="a3"/>
    <w:uiPriority w:val="99"/>
    <w:semiHidden/>
    <w:rsid w:val="00354397"/>
  </w:style>
  <w:style w:type="paragraph" w:styleId="a5">
    <w:name w:val="Normal (Web)"/>
    <w:basedOn w:val="a"/>
    <w:uiPriority w:val="99"/>
    <w:unhideWhenUsed/>
    <w:rsid w:val="00D2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-field-field-person">
    <w:name w:val="views-field-field-person"/>
    <w:basedOn w:val="a0"/>
    <w:rsid w:val="002850AB"/>
  </w:style>
  <w:style w:type="character" w:styleId="a6">
    <w:name w:val="Hyperlink"/>
    <w:basedOn w:val="a0"/>
    <w:uiPriority w:val="99"/>
    <w:semiHidden/>
    <w:unhideWhenUsed/>
    <w:rsid w:val="00285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ropology.ru/ru/edition/rossiyskaya-massovaya-kultura-konca-xx-ve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hropology.ru/ru/periodical/seriya-symposiu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thropology.ru/ru/text/sorokina-vn/massovye-kommunikacii-i-massovaya-kultu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nthropology.ru/ru/person/sorokina-vn" TargetMode="External"/><Relationship Id="rId10" Type="http://schemas.openxmlformats.org/officeDocument/2006/relationships/hyperlink" Target="http://anthropology.ru/ru/publishing/sankt-peterburgskoe-filosofskoe-obshche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hropology.ru/ru/city/saint-petersbu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2025-11-26T10:45:00Z</dcterms:created>
  <dcterms:modified xsi:type="dcterms:W3CDTF">2025-11-26T10:45:00Z</dcterms:modified>
</cp:coreProperties>
</file>